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line="360" w:lineRule="auto"/>
        <w:jc w:val="center"/>
        <w:rPr>
          <w:rFonts w:hint="default" w:ascii="Times New Roman" w:hAnsi="Times New Roman" w:eastAsia="宋体" w:cs="Times New Roman"/>
          <w:sz w:val="24"/>
          <w:szCs w:val="23"/>
          <w:highlight w:val="yellow"/>
          <w:lang w:val="en-US" w:eastAsia="zh-CN" w:bidi="ar-SA"/>
        </w:rPr>
      </w:pPr>
      <w:r>
        <w:rPr>
          <w:rFonts w:hint="eastAsia" w:ascii="Times New Roman" w:hAnsi="Times New Roman" w:eastAsia="宋体" w:cs="Times New Roman"/>
          <w:sz w:val="24"/>
          <w:szCs w:val="23"/>
          <w:lang w:val="en-US" w:eastAsia="zh-CN" w:bidi="ar-SA"/>
        </w:rPr>
        <w:t>证券代码：002871               证券简称：伟隆股份                  公告编号：2022</w:t>
      </w:r>
      <w:r>
        <w:rPr>
          <w:rFonts w:hint="eastAsia" w:ascii="Times New Roman" w:hAnsi="Times New Roman" w:eastAsia="宋体" w:cs="Times New Roman"/>
          <w:sz w:val="24"/>
          <w:szCs w:val="23"/>
          <w:highlight w:val="none"/>
          <w:lang w:val="en-US" w:eastAsia="zh-CN" w:bidi="ar-SA"/>
        </w:rPr>
        <w:t>-0</w:t>
      </w:r>
      <w:r>
        <w:rPr>
          <w:rFonts w:hint="default" w:ascii="Times New Roman" w:hAnsi="Times New Roman" w:eastAsia="宋体" w:cs="Times New Roman"/>
          <w:sz w:val="24"/>
          <w:szCs w:val="23"/>
          <w:highlight w:val="none"/>
          <w:lang w:val="en-US" w:eastAsia="zh-CN" w:bidi="ar-SA"/>
        </w:rPr>
        <w:t>70</w:t>
      </w:r>
    </w:p>
    <w:p>
      <w:pPr>
        <w:spacing w:beforeLines="50" w:after="0"/>
        <w:jc w:val="center"/>
        <w:rPr>
          <w:rFonts w:ascii="宋体" w:hAnsi="宋体"/>
          <w:b/>
          <w:bCs/>
          <w:sz w:val="28"/>
          <w:szCs w:val="24"/>
        </w:rPr>
      </w:pPr>
      <w:r>
        <w:rPr>
          <w:rFonts w:hint="eastAsia" w:ascii="宋体" w:hAnsi="宋体"/>
          <w:b/>
          <w:bCs/>
          <w:sz w:val="28"/>
          <w:szCs w:val="24"/>
        </w:rPr>
        <w:t>青岛伟隆阀门股份有限公司</w:t>
      </w:r>
    </w:p>
    <w:p>
      <w:pPr>
        <w:spacing w:beforeLines="50" w:after="0"/>
        <w:jc w:val="center"/>
        <w:rPr>
          <w:rFonts w:hint="default" w:ascii="宋体" w:hAnsi="宋体"/>
          <w:b/>
          <w:bCs/>
          <w:sz w:val="28"/>
          <w:szCs w:val="24"/>
          <w:lang w:val="en-US" w:eastAsia="zh-CN"/>
        </w:rPr>
      </w:pPr>
      <w:r>
        <w:rPr>
          <w:rFonts w:hint="eastAsia" w:ascii="宋体" w:hAnsi="宋体"/>
          <w:b/>
          <w:bCs/>
          <w:sz w:val="28"/>
          <w:szCs w:val="24"/>
          <w:lang w:val="en-US" w:eastAsia="zh-CN"/>
        </w:rPr>
        <w:t>关于公司股票交易异常波动的公告</w:t>
      </w:r>
    </w:p>
    <w:p>
      <w:pPr>
        <w:spacing w:beforeLines="50" w:after="0"/>
        <w:jc w:val="center"/>
        <w:rPr>
          <w:rFonts w:hint="eastAsia" w:ascii="宋体" w:hAnsi="宋体"/>
          <w:b/>
          <w:bCs/>
          <w:sz w:val="18"/>
          <w:szCs w:val="16"/>
          <w:lang w:val="en-US" w:eastAsia="zh-CN"/>
        </w:rPr>
      </w:pP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8522" w:type="dxa"/>
            <w:tcBorders>
              <w:top w:val="single" w:color="auto" w:sz="4" w:space="0"/>
              <w:left w:val="single" w:color="auto" w:sz="4" w:space="0"/>
              <w:bottom w:val="single" w:color="auto" w:sz="4" w:space="0"/>
              <w:right w:val="single" w:color="auto" w:sz="4" w:space="0"/>
            </w:tcBorders>
          </w:tcPr>
          <w:p>
            <w:pPr>
              <w:autoSpaceDE w:val="0"/>
              <w:autoSpaceDN w:val="0"/>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本公司及董事会全体成员保证信息披露内容的真实、准确和完整，没有虚假记载、误导性陈述或重大遗漏。</w:t>
            </w:r>
          </w:p>
        </w:tc>
      </w:tr>
    </w:tbl>
    <w:p>
      <w:pPr>
        <w:spacing w:line="360" w:lineRule="auto"/>
        <w:ind w:firstLine="570"/>
        <w:rPr>
          <w:rFonts w:ascii="宋体" w:hAnsi="宋体"/>
          <w:b/>
          <w:sz w:val="24"/>
          <w:szCs w:val="24"/>
        </w:rPr>
      </w:pPr>
    </w:p>
    <w:p>
      <w:pPr>
        <w:pStyle w:val="17"/>
        <w:numPr>
          <w:ilvl w:val="0"/>
          <w:numId w:val="1"/>
        </w:numPr>
        <w:spacing w:line="480" w:lineRule="auto"/>
        <w:ind w:firstLine="482" w:firstLineChars="200"/>
        <w:rPr>
          <w:rFonts w:hint="default"/>
          <w:b/>
          <w:bCs/>
          <w:sz w:val="24"/>
          <w:szCs w:val="23"/>
          <w:lang w:val="en-US" w:eastAsia="zh-CN"/>
        </w:rPr>
      </w:pPr>
      <w:r>
        <w:rPr>
          <w:rFonts w:hint="eastAsia" w:ascii="宋体" w:hAnsi="宋体" w:eastAsia="宋体" w:cs="宋体"/>
          <w:b/>
          <w:bCs/>
          <w:i w:val="0"/>
          <w:iCs w:val="0"/>
          <w:color w:val="000000"/>
          <w:sz w:val="24"/>
          <w:szCs w:val="24"/>
        </w:rPr>
        <w:t>股票交易异常波动的情况介绍</w:t>
      </w:r>
    </w:p>
    <w:p>
      <w:pPr>
        <w:pStyle w:val="17"/>
        <w:numPr>
          <w:ilvl w:val="0"/>
          <w:numId w:val="0"/>
        </w:numPr>
        <w:spacing w:line="480" w:lineRule="auto"/>
        <w:ind w:left="0" w:leftChars="0" w:firstLine="439" w:firstLineChars="183"/>
        <w:rPr>
          <w:rFonts w:hint="eastAsia" w:ascii="宋体" w:hAnsi="宋体" w:eastAsia="宋体" w:cs="宋体"/>
          <w:b w:val="0"/>
          <w:bCs w:val="0"/>
          <w:i w:val="0"/>
          <w:iCs w:val="0"/>
          <w:color w:val="000000"/>
          <w:sz w:val="24"/>
          <w:szCs w:val="24"/>
        </w:rPr>
      </w:pPr>
      <w:r>
        <w:rPr>
          <w:rFonts w:hint="eastAsia" w:ascii="宋体" w:hAnsi="宋体" w:cs="宋体"/>
          <w:b w:val="0"/>
          <w:bCs w:val="0"/>
          <w:i w:val="0"/>
          <w:iCs w:val="0"/>
          <w:color w:val="000000"/>
          <w:sz w:val="24"/>
          <w:szCs w:val="24"/>
          <w:lang w:val="en-US" w:eastAsia="zh-CN"/>
        </w:rPr>
        <w:t>青岛伟隆阀门股份有限公司</w:t>
      </w:r>
      <w:r>
        <w:rPr>
          <w:rFonts w:hint="eastAsia" w:ascii="宋体" w:hAnsi="宋体" w:eastAsia="宋体" w:cs="宋体"/>
          <w:b w:val="0"/>
          <w:bCs w:val="0"/>
          <w:i w:val="0"/>
          <w:iCs w:val="0"/>
          <w:color w:val="000000"/>
          <w:sz w:val="24"/>
          <w:szCs w:val="24"/>
        </w:rPr>
        <w:t>（以下简称“公司”）股票交易价格于2022年</w:t>
      </w:r>
      <w:r>
        <w:rPr>
          <w:rFonts w:hint="default" w:ascii="宋体" w:hAnsi="宋体" w:cs="宋体"/>
          <w:b w:val="0"/>
          <w:bCs w:val="0"/>
          <w:i w:val="0"/>
          <w:iCs w:val="0"/>
          <w:color w:val="000000"/>
          <w:sz w:val="24"/>
          <w:szCs w:val="24"/>
          <w:lang w:val="en-US"/>
        </w:rPr>
        <w:t>9</w:t>
      </w:r>
      <w:r>
        <w:rPr>
          <w:rFonts w:hint="eastAsia" w:ascii="宋体" w:hAnsi="宋体" w:eastAsia="宋体" w:cs="宋体"/>
          <w:b w:val="0"/>
          <w:bCs w:val="0"/>
          <w:i w:val="0"/>
          <w:iCs w:val="0"/>
          <w:color w:val="000000"/>
          <w:sz w:val="24"/>
          <w:szCs w:val="24"/>
        </w:rPr>
        <w:t>月</w:t>
      </w:r>
      <w:r>
        <w:rPr>
          <w:rFonts w:hint="default" w:ascii="宋体" w:hAnsi="宋体" w:cs="宋体"/>
          <w:b w:val="0"/>
          <w:bCs w:val="0"/>
          <w:i w:val="0"/>
          <w:iCs w:val="0"/>
          <w:color w:val="000000"/>
          <w:sz w:val="24"/>
          <w:szCs w:val="24"/>
          <w:lang w:val="en-US" w:eastAsia="zh-CN"/>
        </w:rPr>
        <w:t>13</w:t>
      </w:r>
      <w:r>
        <w:rPr>
          <w:rFonts w:hint="eastAsia" w:ascii="宋体" w:hAnsi="宋体" w:eastAsia="宋体" w:cs="宋体"/>
          <w:b w:val="0"/>
          <w:bCs w:val="0"/>
          <w:i w:val="0"/>
          <w:iCs w:val="0"/>
          <w:color w:val="000000"/>
          <w:sz w:val="24"/>
          <w:szCs w:val="24"/>
        </w:rPr>
        <w:t>日、2022年</w:t>
      </w:r>
      <w:r>
        <w:rPr>
          <w:rFonts w:hint="default" w:ascii="宋体" w:hAnsi="宋体" w:cs="宋体"/>
          <w:b w:val="0"/>
          <w:bCs w:val="0"/>
          <w:i w:val="0"/>
          <w:iCs w:val="0"/>
          <w:color w:val="000000"/>
          <w:sz w:val="24"/>
          <w:szCs w:val="24"/>
          <w:lang w:val="en-US"/>
        </w:rPr>
        <w:t>9</w:t>
      </w:r>
      <w:r>
        <w:rPr>
          <w:rFonts w:hint="eastAsia" w:ascii="宋体" w:hAnsi="宋体" w:eastAsia="宋体" w:cs="宋体"/>
          <w:b w:val="0"/>
          <w:bCs w:val="0"/>
          <w:i w:val="0"/>
          <w:iCs w:val="0"/>
          <w:color w:val="000000"/>
          <w:sz w:val="24"/>
          <w:szCs w:val="24"/>
        </w:rPr>
        <w:t>月</w:t>
      </w:r>
      <w:r>
        <w:rPr>
          <w:rFonts w:hint="default" w:ascii="宋体" w:hAnsi="宋体" w:cs="宋体"/>
          <w:b w:val="0"/>
          <w:bCs w:val="0"/>
          <w:i w:val="0"/>
          <w:iCs w:val="0"/>
          <w:color w:val="000000"/>
          <w:sz w:val="24"/>
          <w:szCs w:val="24"/>
          <w:lang w:val="en-US" w:eastAsia="zh-CN"/>
        </w:rPr>
        <w:t>14</w:t>
      </w:r>
      <w:r>
        <w:rPr>
          <w:rFonts w:hint="eastAsia" w:ascii="宋体" w:hAnsi="宋体" w:eastAsia="宋体" w:cs="宋体"/>
          <w:b w:val="0"/>
          <w:bCs w:val="0"/>
          <w:i w:val="0"/>
          <w:iCs w:val="0"/>
          <w:color w:val="000000"/>
          <w:sz w:val="24"/>
          <w:szCs w:val="24"/>
        </w:rPr>
        <w:t>日连续2个交易日收盘价格涨幅偏离值累计超过20%，根据《深圳证券交易所交易规则》的有关规定，属于股票交易异常波动的情况。</w:t>
      </w:r>
    </w:p>
    <w:p>
      <w:pPr>
        <w:pStyle w:val="17"/>
        <w:numPr>
          <w:ilvl w:val="0"/>
          <w:numId w:val="1"/>
        </w:numPr>
        <w:spacing w:line="480" w:lineRule="auto"/>
        <w:ind w:left="0" w:leftChars="0" w:firstLine="482" w:firstLineChars="200"/>
        <w:rPr>
          <w:rFonts w:hint="eastAsia" w:ascii="宋体" w:hAnsi="宋体" w:eastAsia="宋体" w:cs="宋体"/>
          <w:b/>
          <w:bCs/>
          <w:i w:val="0"/>
          <w:iCs w:val="0"/>
          <w:color w:val="000000"/>
          <w:sz w:val="24"/>
          <w:szCs w:val="24"/>
        </w:rPr>
      </w:pPr>
      <w:r>
        <w:rPr>
          <w:rFonts w:hint="eastAsia" w:ascii="宋体" w:hAnsi="宋体" w:eastAsia="宋体" w:cs="宋体"/>
          <w:b/>
          <w:bCs/>
          <w:i w:val="0"/>
          <w:iCs w:val="0"/>
          <w:color w:val="000000"/>
          <w:sz w:val="24"/>
          <w:szCs w:val="24"/>
        </w:rPr>
        <w:t>公司关注并核实相关情况</w:t>
      </w:r>
    </w:p>
    <w:p>
      <w:pPr>
        <w:pStyle w:val="17"/>
        <w:numPr>
          <w:ilvl w:val="0"/>
          <w:numId w:val="0"/>
        </w:numPr>
        <w:spacing w:line="480" w:lineRule="auto"/>
        <w:ind w:firstLine="480" w:firstLineChars="200"/>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color w:val="000000"/>
          <w:sz w:val="24"/>
          <w:szCs w:val="24"/>
        </w:rPr>
        <w:t>针对公司股票异常波动，公司对有关事项进行了核查，并问询了公司控股股东及实际控制人，现将有关情况说明如下：</w:t>
      </w:r>
    </w:p>
    <w:p>
      <w:pPr>
        <w:pStyle w:val="17"/>
        <w:numPr>
          <w:ilvl w:val="0"/>
          <w:numId w:val="2"/>
        </w:numPr>
        <w:spacing w:line="480" w:lineRule="auto"/>
        <w:ind w:firstLine="480" w:firstLineChars="200"/>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color w:val="000000"/>
          <w:sz w:val="24"/>
          <w:szCs w:val="24"/>
        </w:rPr>
        <w:t>公司前期披露的信息不存在需要更正、补充之处；</w:t>
      </w:r>
    </w:p>
    <w:p>
      <w:pPr>
        <w:pStyle w:val="17"/>
        <w:numPr>
          <w:ilvl w:val="0"/>
          <w:numId w:val="2"/>
        </w:numPr>
        <w:spacing w:line="480" w:lineRule="auto"/>
        <w:ind w:firstLine="480" w:firstLineChars="200"/>
        <w:rPr>
          <w:rFonts w:hint="default"/>
          <w:sz w:val="24"/>
          <w:szCs w:val="23"/>
          <w:lang w:val="en-US" w:eastAsia="zh-CN"/>
        </w:rPr>
      </w:pPr>
      <w:r>
        <w:rPr>
          <w:rFonts w:hint="eastAsia" w:ascii="宋体" w:hAnsi="宋体" w:eastAsia="宋体" w:cs="宋体"/>
          <w:b w:val="0"/>
          <w:bCs w:val="0"/>
          <w:i w:val="0"/>
          <w:iCs w:val="0"/>
          <w:color w:val="000000"/>
          <w:sz w:val="24"/>
          <w:szCs w:val="24"/>
        </w:rPr>
        <w:t>公司未发现近期公共传媒报道了可能或已经对公司股票交易价格产生较大影响的未公开重大信息；</w:t>
      </w:r>
    </w:p>
    <w:p>
      <w:pPr>
        <w:pStyle w:val="17"/>
        <w:numPr>
          <w:ilvl w:val="0"/>
          <w:numId w:val="2"/>
        </w:numPr>
        <w:spacing w:line="480" w:lineRule="auto"/>
        <w:ind w:firstLine="480" w:firstLineChars="200"/>
        <w:rPr>
          <w:rFonts w:hint="default"/>
          <w:sz w:val="24"/>
          <w:szCs w:val="23"/>
          <w:lang w:val="en-US" w:eastAsia="zh-CN"/>
        </w:rPr>
      </w:pPr>
      <w:r>
        <w:rPr>
          <w:rFonts w:hint="eastAsia" w:ascii="宋体" w:hAnsi="宋体" w:eastAsia="宋体" w:cs="宋体"/>
          <w:b w:val="0"/>
          <w:bCs w:val="0"/>
          <w:i w:val="0"/>
          <w:iCs w:val="0"/>
          <w:color w:val="000000"/>
          <w:sz w:val="24"/>
          <w:szCs w:val="24"/>
        </w:rPr>
        <w:t>近期公司经营情况正常，内外部经营环境未发生重大变化；</w:t>
      </w:r>
    </w:p>
    <w:p>
      <w:pPr>
        <w:pStyle w:val="17"/>
        <w:numPr>
          <w:ilvl w:val="0"/>
          <w:numId w:val="2"/>
        </w:numPr>
        <w:spacing w:line="480" w:lineRule="auto"/>
        <w:ind w:firstLine="480" w:firstLineChars="200"/>
        <w:rPr>
          <w:rFonts w:hint="default"/>
          <w:sz w:val="24"/>
          <w:szCs w:val="23"/>
          <w:lang w:val="en-US" w:eastAsia="zh-CN"/>
        </w:rPr>
      </w:pPr>
      <w:r>
        <w:rPr>
          <w:rFonts w:hint="eastAsia" w:ascii="宋体" w:hAnsi="宋体" w:eastAsia="宋体" w:cs="宋体"/>
          <w:b w:val="0"/>
          <w:bCs w:val="0"/>
          <w:i w:val="0"/>
          <w:iCs w:val="0"/>
          <w:color w:val="000000"/>
          <w:sz w:val="24"/>
          <w:szCs w:val="24"/>
        </w:rPr>
        <w:t>公司、控股股东和实际控制人不存在关于公司的应披露而未披露的重大事项，也不存在处于筹划阶段的重大事项；</w:t>
      </w:r>
    </w:p>
    <w:p>
      <w:pPr>
        <w:pStyle w:val="17"/>
        <w:numPr>
          <w:ilvl w:val="0"/>
          <w:numId w:val="2"/>
        </w:numPr>
        <w:spacing w:line="480" w:lineRule="auto"/>
        <w:ind w:firstLine="480" w:firstLineChars="200"/>
        <w:rPr>
          <w:rFonts w:hint="default"/>
          <w:sz w:val="24"/>
          <w:szCs w:val="23"/>
          <w:lang w:val="en-US" w:eastAsia="zh-CN"/>
        </w:rPr>
      </w:pPr>
      <w:r>
        <w:rPr>
          <w:rFonts w:hint="eastAsia" w:ascii="宋体" w:hAnsi="宋体" w:eastAsia="宋体" w:cs="宋体"/>
          <w:b w:val="0"/>
          <w:bCs w:val="0"/>
          <w:i w:val="0"/>
          <w:iCs w:val="0"/>
          <w:color w:val="000000"/>
          <w:sz w:val="24"/>
          <w:szCs w:val="24"/>
        </w:rPr>
        <w:t>公司控股股东和实际控制人在公司股票交易异常波动期间未买卖本公司股票。</w:t>
      </w:r>
    </w:p>
    <w:p>
      <w:pPr>
        <w:pStyle w:val="17"/>
        <w:numPr>
          <w:ilvl w:val="0"/>
          <w:numId w:val="1"/>
        </w:numPr>
        <w:spacing w:line="480" w:lineRule="auto"/>
        <w:ind w:left="0" w:leftChars="0" w:firstLine="482" w:firstLineChars="200"/>
        <w:rPr>
          <w:rFonts w:hint="eastAsia" w:ascii="宋体" w:hAnsi="宋体" w:eastAsia="宋体" w:cs="宋体"/>
          <w:b/>
          <w:bCs/>
          <w:i w:val="0"/>
          <w:iCs w:val="0"/>
          <w:color w:val="000000"/>
          <w:sz w:val="24"/>
          <w:szCs w:val="24"/>
        </w:rPr>
      </w:pPr>
      <w:r>
        <w:rPr>
          <w:rFonts w:hint="eastAsia" w:ascii="宋体" w:hAnsi="宋体" w:eastAsia="宋体" w:cs="宋体"/>
          <w:b/>
          <w:bCs/>
          <w:i w:val="0"/>
          <w:iCs w:val="0"/>
          <w:color w:val="000000"/>
          <w:sz w:val="24"/>
          <w:szCs w:val="24"/>
        </w:rPr>
        <w:t>是否存在应披露而未披露信息的说明</w:t>
      </w:r>
    </w:p>
    <w:p>
      <w:pPr>
        <w:pStyle w:val="17"/>
        <w:numPr>
          <w:ilvl w:val="0"/>
          <w:numId w:val="0"/>
        </w:numPr>
        <w:spacing w:line="480" w:lineRule="auto"/>
        <w:ind w:left="0" w:leftChars="0" w:firstLine="439" w:firstLineChars="183"/>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color w:val="000000"/>
          <w:sz w:val="24"/>
          <w:szCs w:val="24"/>
        </w:rPr>
        <w:t>公司董事会确认：公司目前没有任何根据《深圳证券交易所股票上市规则》等有关规定应予以披露而未披露的事项或与该事项有关的筹划、商谈、意向、协议等；董事会也未获悉公司有其他根据《深圳证券交易所股票上市规则》等有关规定应予以披露而未披露的、对公司股票及其衍生品种交易价格产生较大影响的信息；公司前期披露的信息不存在需要更正、补充之处。</w:t>
      </w:r>
    </w:p>
    <w:p>
      <w:pPr>
        <w:pStyle w:val="17"/>
        <w:numPr>
          <w:ilvl w:val="0"/>
          <w:numId w:val="1"/>
        </w:numPr>
        <w:spacing w:line="480" w:lineRule="auto"/>
        <w:ind w:left="0" w:leftChars="0" w:firstLine="482" w:firstLineChars="200"/>
        <w:rPr>
          <w:rFonts w:hint="eastAsia" w:ascii="宋体" w:hAnsi="宋体" w:eastAsia="宋体" w:cs="宋体"/>
          <w:b/>
          <w:bCs/>
          <w:i w:val="0"/>
          <w:iCs w:val="0"/>
          <w:color w:val="000000"/>
          <w:sz w:val="24"/>
          <w:szCs w:val="24"/>
        </w:rPr>
      </w:pPr>
      <w:r>
        <w:rPr>
          <w:rFonts w:hint="eastAsia" w:ascii="宋体" w:hAnsi="宋体" w:eastAsia="宋体" w:cs="宋体"/>
          <w:b/>
          <w:bCs/>
          <w:i w:val="0"/>
          <w:iCs w:val="0"/>
          <w:color w:val="000000"/>
          <w:sz w:val="24"/>
          <w:szCs w:val="24"/>
        </w:rPr>
        <w:t>风险提示</w:t>
      </w:r>
    </w:p>
    <w:p>
      <w:pPr>
        <w:pStyle w:val="17"/>
        <w:numPr>
          <w:ilvl w:val="0"/>
          <w:numId w:val="3"/>
        </w:numPr>
        <w:spacing w:line="480" w:lineRule="auto"/>
        <w:ind w:left="0" w:leftChars="0" w:firstLine="439" w:firstLineChars="183"/>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color w:val="000000"/>
          <w:sz w:val="24"/>
          <w:szCs w:val="24"/>
        </w:rPr>
        <w:t>经自查，公司不存在违反信息公平披露的情形。</w:t>
      </w:r>
    </w:p>
    <w:p>
      <w:pPr>
        <w:pStyle w:val="17"/>
        <w:numPr>
          <w:ilvl w:val="0"/>
          <w:numId w:val="3"/>
        </w:numPr>
        <w:spacing w:line="480" w:lineRule="auto"/>
        <w:ind w:left="0" w:leftChars="0" w:firstLine="439" w:firstLineChars="183"/>
        <w:rPr>
          <w:rFonts w:hint="default"/>
          <w:sz w:val="24"/>
          <w:szCs w:val="23"/>
          <w:lang w:val="en-US" w:eastAsia="zh-CN"/>
        </w:rPr>
      </w:pPr>
      <w:r>
        <w:rPr>
          <w:rFonts w:hint="eastAsia" w:ascii="宋体" w:hAnsi="宋体" w:eastAsia="宋体" w:cs="宋体"/>
          <w:b w:val="0"/>
          <w:bCs w:val="0"/>
          <w:i w:val="0"/>
          <w:iCs w:val="0"/>
          <w:color w:val="000000"/>
          <w:sz w:val="24"/>
          <w:szCs w:val="24"/>
        </w:rPr>
        <w:t>郑重提醒广大投资者：《中国证券报》、《证券时报》</w:t>
      </w:r>
      <w:r>
        <w:rPr>
          <w:rFonts w:hint="eastAsia" w:ascii="宋体" w:hAnsi="宋体" w:cs="宋体"/>
          <w:b w:val="0"/>
          <w:bCs w:val="0"/>
          <w:i w:val="0"/>
          <w:iCs w:val="0"/>
          <w:color w:val="000000"/>
          <w:sz w:val="24"/>
          <w:szCs w:val="24"/>
          <w:lang w:eastAsia="zh-CN"/>
        </w:rPr>
        <w:t>、《证券日报》</w:t>
      </w:r>
      <w:r>
        <w:rPr>
          <w:rFonts w:hint="eastAsia" w:ascii="宋体" w:hAnsi="宋体" w:eastAsia="宋体" w:cs="宋体"/>
          <w:b w:val="0"/>
          <w:bCs w:val="0"/>
          <w:i w:val="0"/>
          <w:iCs w:val="0"/>
          <w:color w:val="000000"/>
          <w:sz w:val="24"/>
          <w:szCs w:val="24"/>
        </w:rPr>
        <w:t>和巨潮资讯网（www.cninfo.com.cn）为公司选定的信息披露媒体，公司所有信息均以在上述媒体披露的信息为准</w:t>
      </w:r>
      <w:r>
        <w:rPr>
          <w:rFonts w:hint="default" w:ascii="宋体" w:hAnsi="宋体" w:cs="宋体"/>
          <w:b w:val="0"/>
          <w:bCs w:val="0"/>
          <w:i w:val="0"/>
          <w:iCs w:val="0"/>
          <w:color w:val="000000"/>
          <w:sz w:val="24"/>
          <w:szCs w:val="24"/>
          <w:lang w:val="en-US"/>
        </w:rPr>
        <w:t>.</w:t>
      </w:r>
    </w:p>
    <w:p>
      <w:pPr>
        <w:pStyle w:val="17"/>
        <w:numPr>
          <w:ilvl w:val="0"/>
          <w:numId w:val="3"/>
        </w:numPr>
        <w:spacing w:line="480" w:lineRule="auto"/>
        <w:ind w:left="0" w:leftChars="0" w:firstLine="439" w:firstLineChars="183"/>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color w:val="000000"/>
          <w:sz w:val="24"/>
          <w:szCs w:val="24"/>
        </w:rPr>
        <w:t>公司将严格按照有关法律、法规的规定和要求，认真履行信息披露义务，及时</w:t>
      </w:r>
      <w:r>
        <w:rPr>
          <w:rFonts w:hint="default" w:ascii="宋体" w:hAnsi="宋体" w:eastAsia="宋体" w:cs="宋体"/>
          <w:b w:val="0"/>
          <w:bCs w:val="0"/>
          <w:i w:val="0"/>
          <w:iCs w:val="0"/>
          <w:color w:val="000000"/>
          <w:sz w:val="24"/>
          <w:szCs w:val="24"/>
        </w:rPr>
        <w:t>做好信息披露工作。</w:t>
      </w:r>
      <w:bookmarkStart w:id="0" w:name="_GoBack"/>
      <w:bookmarkEnd w:id="0"/>
    </w:p>
    <w:p>
      <w:pPr>
        <w:pStyle w:val="17"/>
        <w:numPr>
          <w:numId w:val="0"/>
        </w:numPr>
        <w:spacing w:line="480" w:lineRule="auto"/>
        <w:ind w:leftChars="183"/>
        <w:rPr>
          <w:rFonts w:hint="default"/>
          <w:sz w:val="24"/>
          <w:szCs w:val="23"/>
          <w:lang w:val="en-US" w:eastAsia="zh-CN"/>
        </w:rPr>
      </w:pPr>
      <w:r>
        <w:rPr>
          <w:rFonts w:hint="eastAsia" w:ascii="宋体" w:hAnsi="宋体" w:eastAsia="宋体" w:cs="宋体"/>
          <w:b w:val="0"/>
          <w:bCs w:val="0"/>
          <w:i w:val="0"/>
          <w:iCs w:val="0"/>
          <w:color w:val="000000"/>
          <w:sz w:val="24"/>
          <w:szCs w:val="24"/>
        </w:rPr>
        <w:t>请广大投资者理性投资，注意风险。</w:t>
      </w:r>
    </w:p>
    <w:p>
      <w:pPr>
        <w:pStyle w:val="17"/>
        <w:numPr>
          <w:ilvl w:val="0"/>
          <w:numId w:val="0"/>
        </w:numPr>
        <w:spacing w:line="480" w:lineRule="auto"/>
        <w:ind w:leftChars="183"/>
        <w:rPr>
          <w:rFonts w:hint="default"/>
          <w:sz w:val="24"/>
          <w:szCs w:val="23"/>
          <w:lang w:val="en-US" w:eastAsia="zh-CN"/>
        </w:rPr>
      </w:pPr>
      <w:r>
        <w:rPr>
          <w:rFonts w:hint="eastAsia" w:ascii="宋体" w:hAnsi="宋体" w:eastAsia="宋体" w:cs="宋体"/>
          <w:b w:val="0"/>
          <w:bCs w:val="0"/>
          <w:i w:val="0"/>
          <w:iCs w:val="0"/>
          <w:color w:val="000000"/>
          <w:sz w:val="24"/>
          <w:szCs w:val="24"/>
        </w:rPr>
        <w:t>特此公告。</w:t>
      </w:r>
    </w:p>
    <w:p>
      <w:pPr>
        <w:spacing w:line="360" w:lineRule="auto"/>
        <w:ind w:left="0" w:leftChars="0" w:firstLine="4620" w:firstLineChars="1925"/>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青岛伟隆阀门股份有限公司</w:t>
      </w:r>
    </w:p>
    <w:p>
      <w:pPr>
        <w:spacing w:line="360" w:lineRule="auto"/>
        <w:ind w:firstLine="5640" w:firstLineChars="2350"/>
        <w:rPr>
          <w:rFonts w:asciiTheme="minorEastAsia" w:hAnsiTheme="minorEastAsia" w:eastAsiaTheme="minorEastAsia"/>
          <w:sz w:val="24"/>
          <w:szCs w:val="24"/>
        </w:rPr>
      </w:pPr>
      <w:r>
        <w:rPr>
          <w:rFonts w:hint="eastAsia" w:asciiTheme="minorEastAsia" w:hAnsiTheme="minorEastAsia" w:eastAsiaTheme="minorEastAsia"/>
          <w:sz w:val="24"/>
          <w:szCs w:val="24"/>
        </w:rPr>
        <w:t>董事会</w:t>
      </w:r>
    </w:p>
    <w:p>
      <w:pPr>
        <w:spacing w:line="360" w:lineRule="auto"/>
        <w:ind w:firstLine="5059" w:firstLineChars="2108"/>
        <w:rPr>
          <w:rFonts w:hint="default" w:asciiTheme="minorEastAsia" w:hAnsiTheme="minorEastAsia" w:eastAsiaTheme="minorEastAsia"/>
          <w:sz w:val="24"/>
          <w:szCs w:val="24"/>
          <w:lang w:val="en-US"/>
        </w:rPr>
      </w:pPr>
      <w:r>
        <w:rPr>
          <w:rFonts w:hint="eastAsia" w:asciiTheme="minorEastAsia" w:hAnsiTheme="minorEastAsia" w:eastAsiaTheme="minorEastAsia"/>
          <w:sz w:val="24"/>
          <w:szCs w:val="24"/>
        </w:rPr>
        <w:t>20</w:t>
      </w:r>
      <w:r>
        <w:rPr>
          <w:rFonts w:hint="eastAsia" w:asciiTheme="minorEastAsia" w:hAnsiTheme="minorEastAsia" w:eastAsiaTheme="minorEastAsia"/>
          <w:sz w:val="24"/>
          <w:szCs w:val="24"/>
          <w:lang w:val="en-US" w:eastAsia="zh-CN"/>
        </w:rPr>
        <w:t>22</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0</w:t>
      </w:r>
      <w:r>
        <w:rPr>
          <w:rFonts w:hint="default"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1</w:t>
      </w:r>
      <w:r>
        <w:rPr>
          <w:rFonts w:hint="default" w:asciiTheme="minorEastAsia" w:hAnsiTheme="minorEastAsia" w:eastAsiaTheme="minorEastAsia"/>
          <w:sz w:val="24"/>
          <w:szCs w:val="24"/>
          <w:lang w:val="en-US" w:eastAsia="zh-CN"/>
        </w:rPr>
        <w:t>5</w:t>
      </w:r>
      <w:r>
        <w:rPr>
          <w:rFonts w:hint="eastAsia" w:asciiTheme="minorEastAsia" w:hAnsiTheme="minorEastAsia" w:eastAsiaTheme="minorEastAsia"/>
          <w:sz w:val="24"/>
          <w:szCs w:val="24"/>
        </w:rPr>
        <w:t>日</w:t>
      </w:r>
    </w:p>
    <w:p>
      <w:pPr>
        <w:rPr>
          <w:rFonts w:hint="eastAsia" w:asciiTheme="minorEastAsia" w:hAnsiTheme="minorEastAsia" w:eastAsiaTheme="minorEastAsia"/>
          <w:sz w:val="24"/>
          <w:szCs w:val="24"/>
          <w:lang w:val="en-US" w:eastAsia="zh-CN"/>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41BF6C"/>
    <w:multiLevelType w:val="singleLevel"/>
    <w:tmpl w:val="D041BF6C"/>
    <w:lvl w:ilvl="0" w:tentative="0">
      <w:start w:val="1"/>
      <w:numFmt w:val="decimal"/>
      <w:suff w:val="nothing"/>
      <w:lvlText w:val="%1、"/>
      <w:lvlJc w:val="left"/>
    </w:lvl>
  </w:abstractNum>
  <w:abstractNum w:abstractNumId="1">
    <w:nsid w:val="FC4518FE"/>
    <w:multiLevelType w:val="singleLevel"/>
    <w:tmpl w:val="FC4518FE"/>
    <w:lvl w:ilvl="0" w:tentative="0">
      <w:start w:val="1"/>
      <w:numFmt w:val="chineseCounting"/>
      <w:suff w:val="nothing"/>
      <w:lvlText w:val="%1、"/>
      <w:lvlJc w:val="left"/>
      <w:rPr>
        <w:rFonts w:hint="eastAsia"/>
      </w:rPr>
    </w:lvl>
  </w:abstractNum>
  <w:abstractNum w:abstractNumId="2">
    <w:nsid w:val="136DDE39"/>
    <w:multiLevelType w:val="singleLevel"/>
    <w:tmpl w:val="136DDE39"/>
    <w:lvl w:ilvl="0" w:tentative="0">
      <w:start w:val="1"/>
      <w:numFmt w:val="decimal"/>
      <w:suff w:val="nothing"/>
      <w:lvlText w:val="%1、"/>
      <w:lvlJc w:val="left"/>
    </w:lvl>
  </w:abstractNum>
  <w:num w:numId="1">
    <w:abstractNumId w:val="1"/>
  </w:num>
  <w:num w:numId="2">
    <w:abstractNumId w:val="0"/>
  </w:num>
  <w:num w:numId="3">
    <w:abstractNumId w:val="2"/>
  </w:num>
</w:numbering>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